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C59312" w14:textId="77777777" w:rsidR="007868C3" w:rsidRPr="00F85ABD" w:rsidRDefault="00F85ABD" w:rsidP="00F85ABD">
      <w:pPr>
        <w:spacing w:line="360" w:lineRule="auto"/>
        <w:jc w:val="both"/>
        <w:rPr>
          <w:rFonts w:ascii="Arial" w:hAnsi="Arial" w:cs="Arial"/>
          <w:b/>
        </w:rPr>
      </w:pPr>
      <w:r w:rsidRPr="00F85ABD">
        <w:rPr>
          <w:rFonts w:ascii="Arial" w:hAnsi="Arial" w:cs="Arial"/>
          <w:b/>
        </w:rPr>
        <w:t>Abonelik Sözleşmeleri</w:t>
      </w:r>
    </w:p>
    <w:p w14:paraId="69A80702" w14:textId="77777777" w:rsidR="00F85ABD" w:rsidRPr="00F85ABD" w:rsidRDefault="00F85ABD" w:rsidP="00F85ABD">
      <w:pPr>
        <w:spacing w:line="360" w:lineRule="auto"/>
        <w:jc w:val="both"/>
        <w:rPr>
          <w:rFonts w:ascii="Arial" w:hAnsi="Arial" w:cs="Arial"/>
        </w:rPr>
      </w:pPr>
      <w:r w:rsidRPr="00F85ABD">
        <w:rPr>
          <w:rFonts w:ascii="Arial" w:hAnsi="Arial" w:cs="Arial"/>
        </w:rPr>
        <w:t>Abonelik sözleşmeleri, günümüzde en yoğun uygulama alanı bulunan ve süreklilik arz etmesi nedeniyle en çok uyuşmazlığın yaşandığı sözleşme tiplerinden birisidir. Ülkemizde elektrik, su, doğalgaz, internet, uydu, GSM abonelikleri düşünüldüğünde abonelik sözleşmelerinin hayatın her alanında kaçınılmaz olarak uygulama alanı bulduğunu görmekteyiz.</w:t>
      </w:r>
    </w:p>
    <w:p w14:paraId="6E21C006" w14:textId="77777777" w:rsidR="00F85ABD" w:rsidRPr="00F85ABD" w:rsidRDefault="00F85ABD" w:rsidP="00F85ABD">
      <w:pPr>
        <w:spacing w:line="360" w:lineRule="auto"/>
        <w:jc w:val="both"/>
        <w:rPr>
          <w:rFonts w:ascii="Arial" w:hAnsi="Arial" w:cs="Arial"/>
        </w:rPr>
      </w:pPr>
      <w:r w:rsidRPr="00F85ABD">
        <w:rPr>
          <w:rFonts w:ascii="Arial" w:hAnsi="Arial" w:cs="Arial"/>
        </w:rPr>
        <w:t>Abonelik sözleşmesi, tüketicinin, belirli bir mal veya hizmeti sürekli veya düzenli aralıklarla edinmesini sağlayan sözleşmelerdir. İnternet, elektrik, telefon, gazete abonelikleri, spor salonları gibi sürekli hizmet alınan üyelikler adı altında yapılan sözleşmelerin adları her ne kadar farklıda olsa hepsi birer abonelik sözleşmesidir.</w:t>
      </w:r>
    </w:p>
    <w:p w14:paraId="1FD0A064"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Satıcı veya sağlayıcı, sunulan mal veya hizmete ilişkin olarak tüketici ile bir abonelik sözleşmesi kurmak zorundadır. Yazılı veya mesafeli olarak kurulan abonelik sözleşmelerinin bir örneğinin kâğıt üzerinde veya kalıcı veri saklayıcısı ile tüketiciye verilmesi zorunludur.</w:t>
      </w:r>
    </w:p>
    <w:p w14:paraId="21A5D9B2" w14:textId="77777777" w:rsidR="00F85ABD" w:rsidRDefault="00F85ABD" w:rsidP="00F85ABD">
      <w:pPr>
        <w:spacing w:line="360" w:lineRule="auto"/>
        <w:jc w:val="both"/>
        <w:rPr>
          <w:rFonts w:ascii="Arial" w:hAnsi="Arial" w:cs="Arial"/>
          <w:color w:val="1C283D"/>
        </w:rPr>
      </w:pPr>
      <w:r w:rsidRPr="00F85ABD">
        <w:rPr>
          <w:rFonts w:ascii="Arial" w:hAnsi="Arial" w:cs="Arial"/>
          <w:color w:val="1C283D"/>
        </w:rPr>
        <w:t>Abonelik sözleşmeleri; en az on iki punto büyüklüğünde, anlaşılabilir bir dilde, açık, sade ve okunabilir bir şekilde düzenlenir.</w:t>
      </w:r>
    </w:p>
    <w:p w14:paraId="729D526F"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Abonelik sözleşmelerinde aşağıdaki bilgilerin yer alması zorunludur:</w:t>
      </w:r>
    </w:p>
    <w:p w14:paraId="18706530"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a) Tüketici ile satıcı veya sağlayıcının isim, unvan, açık adres, telefon ve varsa MERSİS numarası ile diğer iletişim bilgileri,</w:t>
      </w:r>
    </w:p>
    <w:p w14:paraId="2AE69577"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b) Sözleşmenin konusu ve varsa süresi,</w:t>
      </w:r>
    </w:p>
    <w:p w14:paraId="6B00C474"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c) Sözleşmenin düzenlendiği tarih,</w:t>
      </w:r>
    </w:p>
    <w:p w14:paraId="177D8842"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ç) Malın ilk teslim tarihi veya hizmetin ifasına başlama tarihi,</w:t>
      </w:r>
    </w:p>
    <w:p w14:paraId="45E11807"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d) Mal veya hizmetin tüm vergiler dahil toplam fiyatı,</w:t>
      </w:r>
    </w:p>
    <w:p w14:paraId="6763AC64"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e) Sözleşme konusu mal veya hizmet bedelinin bir tarife üzerinden hesaplanması durumunda; tüketici tarafından seçilen tarifenin adı, içeriği ve sözleşmenin düzenlendiği tarihteki birim tüketim bedeli ile tüketim dönemi,</w:t>
      </w:r>
    </w:p>
    <w:p w14:paraId="75D96F16"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f) Fatura bedelinin süresi içerisinde ödenmemesi durumunda, hizmet sunumunun ne şekilde ve ne kadar süre içerisinde durdurulabileceğine; fatura bedelinin sonradan ödenmesi durumunda ise hizmet sunumunun ne şekilde ve ne kadar süre içerisinde başlatılacağına ilişkin bilgi,</w:t>
      </w:r>
    </w:p>
    <w:p w14:paraId="31879B60"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g) Mal veya hizmetin temini için abonenin kullanımına sunulan sayaç, modem ve benzeri cihazların değişiminin yasal yükümlülüklere uygun olarak yapılabileceğine ilişkin bilgi,</w:t>
      </w:r>
    </w:p>
    <w:p w14:paraId="3A60796F"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lastRenderedPageBreak/>
        <w:t>ğ) Sözleşme konusu mal veya hizmet sunumunun mücbir sebeplerle kesintiye uğrayabileceği belirtilmişse bu sebeplerin neler olduğuna ilişkin bilgi,</w:t>
      </w:r>
    </w:p>
    <w:p w14:paraId="221F5CB6"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h) Satıcı veya sağlayıcının kusurundan kaynaklanan nedenlerle sözleşmede belirtilen nitelikte mal veya hizmet sunulamaması halinde tüketicinin, Kanunun 11 inci veya 15 inci maddelerinde yer alan haklarına ilişkin bilgi,</w:t>
      </w:r>
    </w:p>
    <w:p w14:paraId="28346D3D"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ı) Sayaç ve benzeri ölçüm cihazlarının kullanıldığı durumlarda, bu cihazlarda meydana gelen arızalar nedeniyle belli bir süreyle tüketim miktarının hiç veya doğru şekilde tespit edilememesi halinde, söz konusu süre için tüketim miktarının ne şekilde tespit edileceğine ilişkin bilgi,</w:t>
      </w:r>
    </w:p>
    <w:p w14:paraId="7E4F7CB2"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i) Tüketiciye sunulan mal veya hizmetin bedeli dışında tüketiciden ilgili mevzuat gereği tahsil edilmesi zorunlu bedeller söz konusu ise, bu bedellerin neler olduğu ile bunların sözleşmenin düzenlendiği tarihteki tutarı ve değişmesi durumunda yeni tutarların tüketiciye ne şekilde bildirileceğine ilişkin bilgi,</w:t>
      </w:r>
    </w:p>
    <w:p w14:paraId="4A6FBA11"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j) Tüketicinin temerrüde düşmesinin hukuki sonuçlarına ilişkin bilgi,</w:t>
      </w:r>
    </w:p>
    <w:p w14:paraId="3B41EC54"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k) Tüketiciden güvence, depozito veya teminat adı altında bir ücret alınması söz konusu ise bu ücretin tutarı ve aboneliğin sona ermesi durumunda tüketiciye ne kadar süre içerisinde ve ne şekilde iade edileceğine ilişkin bilgi,</w:t>
      </w:r>
    </w:p>
    <w:p w14:paraId="6B14174C"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l) Sözleşmenin feshi ve sonuçlarına ilişkin bilgi,</w:t>
      </w:r>
    </w:p>
    <w:p w14:paraId="7CCEB511"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m) Sözleşmenin feshedilmesi halinde, modem, telefon, uydu alıcısı ve benzeri cihazların iadesi öngörülüyorsa nasıl iade edileceğine veya geri alınacağına ilişkin bilgi,</w:t>
      </w:r>
    </w:p>
    <w:p w14:paraId="21055420" w14:textId="77777777" w:rsidR="00F85ABD" w:rsidRDefault="00F85ABD" w:rsidP="00F85ABD">
      <w:pPr>
        <w:spacing w:line="360" w:lineRule="auto"/>
        <w:jc w:val="both"/>
        <w:rPr>
          <w:rFonts w:ascii="Arial" w:hAnsi="Arial" w:cs="Arial"/>
          <w:color w:val="1C283D"/>
        </w:rPr>
      </w:pPr>
      <w:r w:rsidRPr="00F85ABD">
        <w:rPr>
          <w:rFonts w:ascii="Arial" w:hAnsi="Arial" w:cs="Arial"/>
          <w:color w:val="1C283D"/>
        </w:rPr>
        <w:t>n) Tüketicilerin uyuşmazlık konusundaki başvurularını tüketici mahkemesine veya tüketici hakem heyetine yapabileceklerine ilişkin bilgi.</w:t>
      </w:r>
    </w:p>
    <w:p w14:paraId="64790858"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Elektrik, su, doğal gaz ve elektronik haberleşme sektörü dışındaki abonelik sözleşmelerinde birinci fıkranın (e), (f), (g), (ı), (k) ve (m) bentlerinde belirtilen bilgilere yer verilmeyebilir.</w:t>
      </w:r>
    </w:p>
    <w:p w14:paraId="12420511" w14:textId="77777777" w:rsidR="00F85ABD" w:rsidRDefault="00F85ABD" w:rsidP="00F85ABD">
      <w:pPr>
        <w:spacing w:line="360" w:lineRule="auto"/>
        <w:jc w:val="both"/>
        <w:rPr>
          <w:rFonts w:ascii="Arial" w:hAnsi="Arial" w:cs="Arial"/>
          <w:color w:val="1C283D"/>
        </w:rPr>
      </w:pPr>
      <w:r w:rsidRPr="00F85ABD">
        <w:rPr>
          <w:rFonts w:ascii="Arial" w:hAnsi="Arial" w:cs="Arial"/>
          <w:color w:val="1C283D"/>
        </w:rPr>
        <w:t>Elektrik, su ve doğal gaz sektörüne ilişkin abonelik sözleşmelerinde birinci fıkranın (d) bendinde yer alan bilgi aranmaz.</w:t>
      </w:r>
    </w:p>
    <w:p w14:paraId="09C922A3" w14:textId="77777777" w:rsidR="00F85ABD" w:rsidRPr="00F85ABD" w:rsidRDefault="00F85ABD" w:rsidP="00F85ABD">
      <w:pPr>
        <w:spacing w:line="360" w:lineRule="auto"/>
        <w:jc w:val="both"/>
        <w:rPr>
          <w:rFonts w:ascii="Arial" w:hAnsi="Arial" w:cs="Arial"/>
          <w:color w:val="1C283D"/>
        </w:rPr>
      </w:pPr>
      <w:r>
        <w:rPr>
          <w:rFonts w:ascii="Arial" w:hAnsi="Arial" w:cs="Arial"/>
          <w:color w:val="1C283D"/>
        </w:rPr>
        <w:t>S</w:t>
      </w:r>
      <w:r w:rsidRPr="00F85ABD">
        <w:rPr>
          <w:rFonts w:ascii="Arial" w:hAnsi="Arial" w:cs="Arial"/>
          <w:color w:val="1C283D"/>
        </w:rPr>
        <w:t>atıcı veya sağlayıcı, abonelik sözleşmesine konu mal veya hizmeti sözleşmeye uygun olarak teslim veya ifa etmekle yükümlüdür.</w:t>
      </w:r>
    </w:p>
    <w:p w14:paraId="0442894E"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Hizmete ilişkin ücretlendirme, hizmetin tüketiciye fiilen sunulmasıyla başlar. Sağlayıcı sunmadığı hizmetin bedelini tüketiciden talep edemez. Ancak, ön ödemeli hizmetlerde bu fıkra hükmü uygulanmaz.</w:t>
      </w:r>
    </w:p>
    <w:p w14:paraId="079A30C2"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lastRenderedPageBreak/>
        <w:t>Satıcı veya sağlayıcı, bir plan çerçevesinde yapılması öngörülen bakım, kontrol, onarım ve benzeri sebeplerle mal veya hizmet sunumunu durduracak olması halinde, bu durumun başlangıç ve bitiş tarihini en az kırk sekiz saat öncesinden tüketiciye yazılı olarak veya kalıcı veri saklayıcısı ya da basın yayın ve benzeri yollar ile bildirmekle yükümlüdür.</w:t>
      </w:r>
    </w:p>
    <w:p w14:paraId="414D3787"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Satıcı veya sağlayıcı, abonelik süresince tüketicilerle imzalamış oldukları sözleşme ve taahhütnamenin bir örneği ile tüketicinin abone olduğu tarifeye ilişkin ayrıntıları, talep etmesi halinde tüketiciye yazılı olarak veya kalıcı veri saklayıcısı ile ücret almaksızın vermek ya da kendi internet sayfaları üzerinden tüketicinin erişimine sunmak zorundadır.</w:t>
      </w:r>
    </w:p>
    <w:p w14:paraId="4A580099"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Satıcı veya sağlayıcı tarafından uygulanacak faturalandırma dönemleri, sözleşmede aksi kararlaştırılmadıkça bir aydır. Fatura dönemi boyunca tahakkuk eden borç tutarı veya tüketim miktarının, daha önceden sözleşmede belirlenmiş tutarın veya miktarın altında gerçekleşmesi durumunda faturalandırma bir sonraki dönem veya dönemlerde yapılabilir.</w:t>
      </w:r>
    </w:p>
    <w:p w14:paraId="2D1BBD28"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Sözleşmeye konu mal veya hizmetin faturalandırma dönemi değiştirilerek ücretlendirmeye esas birim fiyat arttırılamaz.</w:t>
      </w:r>
    </w:p>
    <w:p w14:paraId="1C347DA0"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Faturanın zamanında ödenmemesi</w:t>
      </w:r>
    </w:p>
    <w:p w14:paraId="24C431A7"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Abonelik sözleşmelerinde faturanın zamanında ödenmemesi durumunda uygulanacak gecikme zammı oranı, 6183 sayılı Amme Alacaklarının Tahsil Usulü Hakkında Kanunun 51 inci maddesine göre belirlenen gecikme zammı oranını aşamaz.</w:t>
      </w:r>
    </w:p>
    <w:p w14:paraId="15B194EF"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Belirli süreli abonelik sözleşmelerine sözleşmenin belirlenen süre kadar uzayacağına ilişkin hükümler konulamaz; ancak abonelik sözleşmesinin kurulmasından sonra, sözleşmenin sona ereceği tarihe kadar tüketicinin talepte bulunması veya onay vermesi hâlinde abonelik sözleşmesi uzatılabilir.</w:t>
      </w:r>
    </w:p>
    <w:p w14:paraId="58AB5051"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Sözleşme süresi sonunda tüketiciden açık bir talep veya onay almadığı halde mal veya hizmet sunmaya devam eden satıcı veya sağlayıcı, sunulan bu mal veya hizmet için hiçbir bedel talep edemez.</w:t>
      </w:r>
    </w:p>
    <w:p w14:paraId="3F3515CF" w14:textId="77777777" w:rsidR="00F85ABD" w:rsidRDefault="00F85ABD" w:rsidP="00F85ABD">
      <w:pPr>
        <w:spacing w:line="360" w:lineRule="auto"/>
        <w:jc w:val="both"/>
        <w:rPr>
          <w:rFonts w:ascii="Arial" w:hAnsi="Arial" w:cs="Arial"/>
          <w:color w:val="1C283D"/>
        </w:rPr>
      </w:pPr>
      <w:r w:rsidRPr="00F85ABD">
        <w:rPr>
          <w:rFonts w:ascii="Arial" w:hAnsi="Arial" w:cs="Arial"/>
          <w:color w:val="1C283D"/>
        </w:rPr>
        <w:t>Elektronik haberleşme sektöründe faaliyet gösteren sağlayıcılar, katma değerli elektronik haberleşme hizmeti sunan sağlayıcılar ile birlikte bu hizmetlerin sunulmasından sorumludur.</w:t>
      </w:r>
    </w:p>
    <w:p w14:paraId="72926CA1"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Taahhütlü abonelikler, satıcı veya sağlayıcının, taahhütnamede belirtilen süre kadar abone kalmayı taahhüt eden tüketicilere;</w:t>
      </w:r>
    </w:p>
    <w:p w14:paraId="765E52CC"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lastRenderedPageBreak/>
        <w:t>a) Sözleşme konusu mal veya hizmetin bedelinden indirim yapmayı,</w:t>
      </w:r>
    </w:p>
    <w:p w14:paraId="1B9B551F"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b) Sözleşme konusu malın teslimi veya hizmetin ifası ile birlikte taahhüt konusu malın mülkiyetini veya kullanım hakkını devre</w:t>
      </w:r>
      <w:r>
        <w:rPr>
          <w:rFonts w:ascii="Arial" w:hAnsi="Arial" w:cs="Arial"/>
          <w:color w:val="1C283D"/>
        </w:rPr>
        <w:t xml:space="preserve">tmeyi ya da hizmeti ifa etmeyi, </w:t>
      </w:r>
      <w:r w:rsidRPr="00F85ABD">
        <w:rPr>
          <w:rFonts w:ascii="Arial" w:hAnsi="Arial" w:cs="Arial"/>
          <w:color w:val="1C283D"/>
        </w:rPr>
        <w:t>taahhüt ettiği aboneliklerdir.</w:t>
      </w:r>
    </w:p>
    <w:p w14:paraId="311D473A"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Taahhütlü aboneliklerde taahhüt süresince sözleşme ve taahhütname koşullarında tüketici aleyhine değişiklik yapılamaz.</w:t>
      </w:r>
    </w:p>
    <w:p w14:paraId="4B42420E"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Taahhütname verme zorunluluğu</w:t>
      </w:r>
    </w:p>
    <w:p w14:paraId="47ECDF96"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Satıcı veya sağlayıcı, ikinci fıkrada belirtilen bilgileri içeren taahhütnameyi yazılı olarak veya kalıcı veri saklayıcısı ile tüketiciye vermek zorundadır. Bu taahhütname, abonelik sözleşmesinin ayrılmaz bir parçasıdır.</w:t>
      </w:r>
    </w:p>
    <w:p w14:paraId="654A68CA"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Taahhütnamede; taahhüdün geçerlilik süresi ile taahhüt konusu mal veya hizmetin nitelikleri, tüm vergiler dahil toplam fiyatı, indirim yapılan tarifenin taahhüt verilmeden önceki fiyatı, aylık yapılan indirim miktarı, taahhüdün süresinden önce sonlandırılması durumunda tüketicinin elde ettiği faydalara ilişkin geri ödeyeceği bedelin hesaplanma yöntemi yer almak zorundadır.</w:t>
      </w:r>
    </w:p>
    <w:p w14:paraId="72A2EB6A"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Taahhüdün sesli iletişim araçları kullanılmak suretiyle verilmesi durumunda, satıcı veya sağlayıcı ikinci fıkrada yer alan bilgileri tüketiciye aynı ortamda vermekle yükümlüdür. Taahhüdün sınırlı alanda ya da zamanda sunulduğu bir ortam yoluyla verilmesi durumunda ise, satıcı veya sağlayıcının taahhüt kapsamında sunulan mal veya hizmetin tüm vergiler dahil toplam fiyatı ile taahhüdün geçerlilik süresini tüketiciye aynı ortamda vermesi yeterlidir. Ancak bu durumlarda; satıcı veya sağlayıcı, birinci fıkrada yer alan yükümlülüğünü taahhüdün verilmesinden itibaren on dört gün içinde yerine getirmek zorundadır.</w:t>
      </w:r>
    </w:p>
    <w:p w14:paraId="6F2E4022"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Taahhütnamede, taahhüt konusu mal veya hizmetin bedeli, aynı mal veya hizmetin taahhütsüz abonelikler kapsamında talep edilen bedelinden daha yüksek gösterilemez.</w:t>
      </w:r>
    </w:p>
    <w:p w14:paraId="5C5F57A7"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 xml:space="preserve">Taahhütlü aboneliklerde tüketicinin süresinden önce taahhütlü aboneliğini sonlandırması halinde, satıcı veya sağlayıcının talep edeceği bedel, tüketicinin taahhüdüne son verdiği tarihe kadar tüketiciye sağlanan indirim, cihaz veya diğer faydaların bedellerinin tahsil edilmemiş kısmının toplamı ile sınırlı kalmak zorundadır. Ancak, tüketiciden taahhüt kapsamında tahsil edileceği belirlenen bedellerin henüz tahakkuk etmemiş kısmının toplamının, </w:t>
      </w:r>
      <w:r w:rsidRPr="00F85ABD">
        <w:rPr>
          <w:rFonts w:ascii="Arial" w:hAnsi="Arial" w:cs="Arial"/>
          <w:color w:val="1C283D"/>
        </w:rPr>
        <w:lastRenderedPageBreak/>
        <w:t>bu tutardan düşük olması halinde sınır değeri olarak tüketici lehine olan tutarın esas alınması zorunludur.</w:t>
      </w:r>
    </w:p>
    <w:p w14:paraId="50B292E2"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Taahhütlü aboneliklerde tüketicinin yerleşim yerinin değişmesi ve taahhüt konusu hizmetin tüketiciye yeni yerleşim yerinde aynı nitelikte sunulmasının fiilen imkansız olması durumunda, tüketici birinci fıkrada belirtilen tutarları veya herhangi bir bedeli ödemeksizin taahhütlü aboneliğini feshedebilir.</w:t>
      </w:r>
    </w:p>
    <w:p w14:paraId="6DB9D38C" w14:textId="77777777" w:rsidR="00F85ABD" w:rsidRPr="00F85ABD" w:rsidRDefault="00F85ABD" w:rsidP="00F85ABD">
      <w:pPr>
        <w:spacing w:line="360" w:lineRule="auto"/>
        <w:jc w:val="both"/>
        <w:rPr>
          <w:rFonts w:ascii="Arial" w:hAnsi="Arial" w:cs="Arial"/>
          <w:color w:val="1C283D"/>
        </w:rPr>
      </w:pPr>
      <w:r w:rsidRPr="00F85ABD">
        <w:rPr>
          <w:rFonts w:ascii="Arial" w:hAnsi="Arial" w:cs="Arial"/>
          <w:color w:val="1C283D"/>
        </w:rPr>
        <w:t>Taahhütlü aboneliğin sona ermesinden en az bir fatura dönemi öncesinden satıcı veya sağlayıcı, bu durumu ödeme bildiriminin yanı sıra yazılı olarak veya kalıcı veri saklayıcısı ile ayrıca tüketiciye bildirir.</w:t>
      </w:r>
    </w:p>
    <w:p w14:paraId="0CF58DD6" w14:textId="77777777" w:rsidR="00F85ABD" w:rsidRDefault="00F85ABD" w:rsidP="00F85ABD">
      <w:pPr>
        <w:spacing w:line="360" w:lineRule="auto"/>
        <w:jc w:val="both"/>
        <w:rPr>
          <w:rFonts w:ascii="Arial" w:hAnsi="Arial" w:cs="Arial"/>
          <w:color w:val="1C283D"/>
        </w:rPr>
      </w:pPr>
      <w:r w:rsidRPr="00F85ABD">
        <w:rPr>
          <w:rFonts w:ascii="Arial" w:hAnsi="Arial" w:cs="Arial"/>
          <w:color w:val="1C283D"/>
        </w:rPr>
        <w:t>Verilen hizmetle birlikte bir malın mülkiyetinin veya kullanım hakkının devredildiği abonelik sözleşmelerinde hizmet sağlayıcısı da malın ayıbından sorumludur.</w:t>
      </w:r>
    </w:p>
    <w:p w14:paraId="434EF47A"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Satıcı veya sağlayıcı, her bir tüketim dönemi sonunda tüketicinin ödeyeceği hizmet bedelini içeren bir ödeme bildirimi düzenlemek zorundadır.</w:t>
      </w:r>
    </w:p>
    <w:p w14:paraId="4705CCD4"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Ödeme bildirimlerinde asgari olarak aşağıdaki bilgiler yer alır:</w:t>
      </w:r>
    </w:p>
    <w:p w14:paraId="448FB90E"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a) Tüketicinin ismi ve soyadı, adresi, abone numarası ve varsa abone grubu,</w:t>
      </w:r>
    </w:p>
    <w:p w14:paraId="58BB3855"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b) Ödeme bildiriminin ait olduğu dönem ve düzenlenme tarihi,</w:t>
      </w:r>
    </w:p>
    <w:p w14:paraId="216D0473"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c) Varsa tüketime esas ilk ve son endeksler ile okuma tarihleri,</w:t>
      </w:r>
    </w:p>
    <w:p w14:paraId="6E507502"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ç) Tüketim veya kullanım miktarı,</w:t>
      </w:r>
    </w:p>
    <w:p w14:paraId="1FA5C7A3"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d) Birim fiyatı, ücretlendirme periyodu ve benzeri hususlar,</w:t>
      </w:r>
    </w:p>
    <w:p w14:paraId="35E88012"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e) Bir tarife uygulanması durumunda, bu tarifenin içeriği ve ücreti,</w:t>
      </w:r>
    </w:p>
    <w:p w14:paraId="338613CC"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f) Vergi türlerini de içeren yasal yükümlülükler dahil olmak üzere tüketicinin ödeyeceği toplam bedeli oluşturan her bir unsurun açık ve anlaşılır ifadesi,</w:t>
      </w:r>
    </w:p>
    <w:p w14:paraId="39B24A1C"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g) Varsa geçmiş dönemlere ilişkin borç veya alacak,</w:t>
      </w:r>
    </w:p>
    <w:p w14:paraId="07D1D537"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ğ) Son ödeme tarihi, ödeme şekilleri ve ödeme merkezleri,</w:t>
      </w:r>
    </w:p>
    <w:p w14:paraId="17ED4592"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h) Tüketicinin itiraz ve taleplerini iletebileceği iletişim kanalları,</w:t>
      </w:r>
    </w:p>
    <w:p w14:paraId="0492BA6C"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ı) Son ödeme tarihinde ödemenin yapılmaması halinde tüketiciye uygulanacak gecikme zammı oranı,</w:t>
      </w:r>
    </w:p>
    <w:p w14:paraId="0C06868C"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i) Taahhütlü aboneliklerde kalan taahhüt süresine ilişkin bilgi ile taahhüt kapsamında tüketiciye sunulan bir mal varsa bunun taksit tutarı.</w:t>
      </w:r>
    </w:p>
    <w:p w14:paraId="71645D02"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Fatura ve benzeri her türlü belge, ikinci fıkrada yer alan bilgileri içermesi kaydıyla ödeme bildirimi olarak kabul edilir.</w:t>
      </w:r>
    </w:p>
    <w:p w14:paraId="3250FFC0"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Ödeme bildiriminde yer alan bilgilerin anlaşılabilir bir dilde açık, sade ve okunabilir bir şekilde düzenlenmesi zorunludur.</w:t>
      </w:r>
    </w:p>
    <w:p w14:paraId="6870437C"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lastRenderedPageBreak/>
        <w:t>Satıcı veya sağlayıcı, ödeme bildiriminin ayrıntılarını kendi internet sayfalarında gösterecek seçeneği sunmakla veya kalıcı veri saklayıcısı ile tüketiciye ücretsiz olarak göndermekle yükümlüdür.</w:t>
      </w:r>
    </w:p>
    <w:p w14:paraId="35D9EAFA"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Ödeme bildiriminin gönderimi</w:t>
      </w:r>
    </w:p>
    <w:p w14:paraId="04184720"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Satıcı veya sağlayıcı ödeme bildirimini, son ödeme tarihinden en az yedi gün önce tüketiciye gönderir. Tüketicinin tercih etmesi halinde, ödeme bildirimi tüketiciye kalıcı veri saklayıcısı ile de gönderilebilir.</w:t>
      </w:r>
    </w:p>
    <w:p w14:paraId="326D42FC"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Ödeme bildiriminin gönderilmesine ilişkin masrafların tüketici tarafından karşılanması talep edilemez.</w:t>
      </w:r>
    </w:p>
    <w:p w14:paraId="24AF8568"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Ödeme bildirimine itiraz</w:t>
      </w:r>
    </w:p>
    <w:p w14:paraId="7C9DA1AC" w14:textId="77777777" w:rsidR="00990A4E" w:rsidRPr="00990A4E" w:rsidRDefault="00990A4E" w:rsidP="00990A4E">
      <w:pPr>
        <w:spacing w:line="360" w:lineRule="auto"/>
        <w:jc w:val="both"/>
        <w:rPr>
          <w:rFonts w:ascii="Arial" w:hAnsi="Arial" w:cs="Arial"/>
          <w:color w:val="1C283D"/>
        </w:rPr>
      </w:pPr>
      <w:r w:rsidRPr="00990A4E">
        <w:rPr>
          <w:rFonts w:ascii="Arial" w:hAnsi="Arial" w:cs="Arial"/>
          <w:color w:val="1C283D"/>
        </w:rPr>
        <w:t>Tüketiciler, ödeme bildiriminde yer alan tutarın hatalı olduğu gerekçesiyle bildirimin düzenlendiği tarihten itibaren bir yıl içerisinde itiraz edebilir. İtiraz, satıcı veya sağlayıcı tarafından başvurunun yapıldığı tarihten itibaren en geç otuz gün içerisinde incelenerek sonuçlandırılır ve inceleme sonuçları tüketiciye yazılı olarak veya kalıcı veri saklayıcısı ile bildirilir.</w:t>
      </w:r>
    </w:p>
    <w:p w14:paraId="46503AD8" w14:textId="77777777" w:rsidR="00990A4E" w:rsidRPr="00F85ABD" w:rsidRDefault="00990A4E" w:rsidP="00990A4E">
      <w:pPr>
        <w:spacing w:line="360" w:lineRule="auto"/>
        <w:jc w:val="both"/>
        <w:rPr>
          <w:rFonts w:ascii="Arial" w:hAnsi="Arial" w:cs="Arial"/>
          <w:color w:val="1C283D"/>
        </w:rPr>
      </w:pPr>
      <w:r w:rsidRPr="00990A4E">
        <w:rPr>
          <w:rFonts w:ascii="Arial" w:hAnsi="Arial" w:cs="Arial"/>
          <w:color w:val="1C283D"/>
        </w:rPr>
        <w:t>İnceleme sonucuna göre itirazın haklı bulunması halinde, itiraza konu tüketim bedeline dair fazla tahsil edilen bedel, kullanım dönemindeki birim fiyat dikkate alınarak gecikme zammı ile birlikte tüketicinin tercih etmesi halinde bir sonraki tüketim dönemine ait bedelden mahsup edilir veya tüketiciye beş gün içinde iade edilir.</w:t>
      </w:r>
    </w:p>
    <w:p w14:paraId="0EEE57F3" w14:textId="77777777" w:rsidR="00F85ABD" w:rsidRPr="00F85ABD" w:rsidRDefault="00F85ABD" w:rsidP="00F85ABD">
      <w:pPr>
        <w:spacing w:line="360" w:lineRule="auto"/>
        <w:jc w:val="both"/>
        <w:rPr>
          <w:rFonts w:ascii="Arial" w:hAnsi="Arial" w:cs="Arial"/>
          <w:color w:val="1C283D"/>
        </w:rPr>
      </w:pPr>
    </w:p>
    <w:p w14:paraId="68B0B2D5" w14:textId="77777777" w:rsidR="00F85ABD" w:rsidRPr="00F85ABD" w:rsidRDefault="00F85ABD" w:rsidP="00F85ABD">
      <w:pPr>
        <w:spacing w:line="360" w:lineRule="auto"/>
        <w:jc w:val="both"/>
        <w:rPr>
          <w:rFonts w:ascii="Arial" w:hAnsi="Arial" w:cs="Arial"/>
        </w:rPr>
      </w:pPr>
    </w:p>
    <w:p w14:paraId="5DC98000" w14:textId="77777777" w:rsidR="00F85ABD" w:rsidRPr="00F85ABD" w:rsidRDefault="00F85ABD" w:rsidP="00F85ABD">
      <w:pPr>
        <w:spacing w:line="360" w:lineRule="auto"/>
        <w:jc w:val="both"/>
        <w:rPr>
          <w:rFonts w:ascii="Arial" w:hAnsi="Arial" w:cs="Arial"/>
        </w:rPr>
      </w:pPr>
    </w:p>
    <w:sectPr w:rsidR="00F85ABD" w:rsidRPr="00F85ABD" w:rsidSect="00C46AE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A2"/>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ABD"/>
    <w:rsid w:val="007868C3"/>
    <w:rsid w:val="00990A4E"/>
    <w:rsid w:val="00C46AE7"/>
    <w:rsid w:val="00E12366"/>
    <w:rsid w:val="00F85A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07DDF5A"/>
  <w14:defaultImageDpi w14:val="300"/>
  <w15:docId w15:val="{23DCDF28-ED18-4AB1-9AF0-CFC84FCD8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779225">
      <w:bodyDiv w:val="1"/>
      <w:marLeft w:val="0"/>
      <w:marRight w:val="0"/>
      <w:marTop w:val="0"/>
      <w:marBottom w:val="0"/>
      <w:divBdr>
        <w:top w:val="none" w:sz="0" w:space="0" w:color="auto"/>
        <w:left w:val="none" w:sz="0" w:space="0" w:color="auto"/>
        <w:bottom w:val="none" w:sz="0" w:space="0" w:color="auto"/>
        <w:right w:val="none" w:sz="0" w:space="0" w:color="auto"/>
      </w:divBdr>
    </w:div>
    <w:div w:id="116142835">
      <w:bodyDiv w:val="1"/>
      <w:marLeft w:val="0"/>
      <w:marRight w:val="0"/>
      <w:marTop w:val="0"/>
      <w:marBottom w:val="0"/>
      <w:divBdr>
        <w:top w:val="none" w:sz="0" w:space="0" w:color="auto"/>
        <w:left w:val="none" w:sz="0" w:space="0" w:color="auto"/>
        <w:bottom w:val="none" w:sz="0" w:space="0" w:color="auto"/>
        <w:right w:val="none" w:sz="0" w:space="0" w:color="auto"/>
      </w:divBdr>
    </w:div>
    <w:div w:id="173156047">
      <w:bodyDiv w:val="1"/>
      <w:marLeft w:val="0"/>
      <w:marRight w:val="0"/>
      <w:marTop w:val="0"/>
      <w:marBottom w:val="0"/>
      <w:divBdr>
        <w:top w:val="none" w:sz="0" w:space="0" w:color="auto"/>
        <w:left w:val="none" w:sz="0" w:space="0" w:color="auto"/>
        <w:bottom w:val="none" w:sz="0" w:space="0" w:color="auto"/>
        <w:right w:val="none" w:sz="0" w:space="0" w:color="auto"/>
      </w:divBdr>
    </w:div>
    <w:div w:id="262806945">
      <w:bodyDiv w:val="1"/>
      <w:marLeft w:val="0"/>
      <w:marRight w:val="0"/>
      <w:marTop w:val="0"/>
      <w:marBottom w:val="0"/>
      <w:divBdr>
        <w:top w:val="none" w:sz="0" w:space="0" w:color="auto"/>
        <w:left w:val="none" w:sz="0" w:space="0" w:color="auto"/>
        <w:bottom w:val="none" w:sz="0" w:space="0" w:color="auto"/>
        <w:right w:val="none" w:sz="0" w:space="0" w:color="auto"/>
      </w:divBdr>
    </w:div>
    <w:div w:id="928923650">
      <w:bodyDiv w:val="1"/>
      <w:marLeft w:val="0"/>
      <w:marRight w:val="0"/>
      <w:marTop w:val="0"/>
      <w:marBottom w:val="0"/>
      <w:divBdr>
        <w:top w:val="none" w:sz="0" w:space="0" w:color="auto"/>
        <w:left w:val="none" w:sz="0" w:space="0" w:color="auto"/>
        <w:bottom w:val="none" w:sz="0" w:space="0" w:color="auto"/>
        <w:right w:val="none" w:sz="0" w:space="0" w:color="auto"/>
      </w:divBdr>
    </w:div>
    <w:div w:id="1048260512">
      <w:bodyDiv w:val="1"/>
      <w:marLeft w:val="0"/>
      <w:marRight w:val="0"/>
      <w:marTop w:val="0"/>
      <w:marBottom w:val="0"/>
      <w:divBdr>
        <w:top w:val="none" w:sz="0" w:space="0" w:color="auto"/>
        <w:left w:val="none" w:sz="0" w:space="0" w:color="auto"/>
        <w:bottom w:val="none" w:sz="0" w:space="0" w:color="auto"/>
        <w:right w:val="none" w:sz="0" w:space="0" w:color="auto"/>
      </w:divBdr>
    </w:div>
    <w:div w:id="1491796816">
      <w:bodyDiv w:val="1"/>
      <w:marLeft w:val="0"/>
      <w:marRight w:val="0"/>
      <w:marTop w:val="0"/>
      <w:marBottom w:val="0"/>
      <w:divBdr>
        <w:top w:val="none" w:sz="0" w:space="0" w:color="auto"/>
        <w:left w:val="none" w:sz="0" w:space="0" w:color="auto"/>
        <w:bottom w:val="none" w:sz="0" w:space="0" w:color="auto"/>
        <w:right w:val="none" w:sz="0" w:space="0" w:color="auto"/>
      </w:divBdr>
    </w:div>
    <w:div w:id="174209687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1840</Words>
  <Characters>10491</Characters>
  <Application>Microsoft Office Word</Application>
  <DocSecurity>0</DocSecurity>
  <Lines>87</Lines>
  <Paragraphs>24</Paragraphs>
  <ScaleCrop>false</ScaleCrop>
  <Company>Elif Şen</Company>
  <LinksUpToDate>false</LinksUpToDate>
  <CharactersWithSpaces>12307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Elif Şen</dc:creator>
  <cp:keywords/>
  <dc:description/>
  <cp:lastModifiedBy>zeynep özcan</cp:lastModifiedBy>
  <cp:revision>2</cp:revision>
  <dcterms:created xsi:type="dcterms:W3CDTF">2020-06-18T20:43:00Z</dcterms:created>
  <dcterms:modified xsi:type="dcterms:W3CDTF">2020-06-18T20:43:00Z</dcterms:modified>
</cp:coreProperties>
</file>